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74C7" w:rsidRDefault="001F0B99">
      <w:pPr>
        <w:rPr>
          <w:sz w:val="22"/>
          <w:szCs w:val="22"/>
        </w:rPr>
      </w:pPr>
      <w:r>
        <w:rPr>
          <w:noProof/>
          <w:lang w:eastAsia="ro-RO" w:bidi="ar-SA"/>
        </w:rPr>
        <w:drawing>
          <wp:inline distT="0" distB="0" distL="0" distR="0">
            <wp:extent cx="61245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1262" r="1262"/>
                    <a:stretch>
                      <a:fillRect/>
                    </a:stretch>
                  </pic:blipFill>
                  <pic:spPr bwMode="auto">
                    <a:xfrm>
                      <a:off x="0" y="0"/>
                      <a:ext cx="6124575" cy="752475"/>
                    </a:xfrm>
                    <a:prstGeom prst="rect">
                      <a:avLst/>
                    </a:prstGeom>
                    <a:solidFill>
                      <a:srgbClr val="FFFFFF">
                        <a:alpha val="0"/>
                      </a:srgbClr>
                    </a:solidFill>
                    <a:ln w="9525">
                      <a:noFill/>
                      <a:miter lim="800000"/>
                      <a:headEnd/>
                      <a:tailEnd/>
                    </a:ln>
                  </pic:spPr>
                </pic:pic>
              </a:graphicData>
            </a:graphic>
          </wp:inline>
        </w:drawing>
      </w:r>
    </w:p>
    <w:p w:rsidR="003574C7" w:rsidRDefault="003574C7">
      <w:pPr>
        <w:spacing w:line="276" w:lineRule="auto"/>
        <w:rPr>
          <w:sz w:val="22"/>
          <w:szCs w:val="22"/>
        </w:rPr>
      </w:pPr>
    </w:p>
    <w:p w:rsidR="003574C7" w:rsidRDefault="003574C7">
      <w:pPr>
        <w:spacing w:line="276" w:lineRule="auto"/>
        <w:jc w:val="right"/>
        <w:rPr>
          <w:rFonts w:ascii="Trebuchet MS" w:hAnsi="Trebuchet MS" w:cs="Trebuchet MS"/>
          <w:sz w:val="22"/>
          <w:szCs w:val="22"/>
        </w:rPr>
      </w:pPr>
    </w:p>
    <w:p w:rsidR="003574C7" w:rsidRDefault="00E036DF">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3574C7" w:rsidRDefault="00E036DF">
      <w:pPr>
        <w:pStyle w:val="BodyText"/>
        <w:jc w:val="right"/>
        <w:rPr>
          <w:rFonts w:ascii="Trebuchet MS" w:hAnsi="Trebuchet MS" w:cs="Trebuchet MS"/>
          <w:sz w:val="22"/>
          <w:szCs w:val="22"/>
        </w:rPr>
      </w:pPr>
      <w:r>
        <w:rPr>
          <w:rFonts w:ascii="Trebuchet MS" w:hAnsi="Trebuchet MS" w:cs="Trebuchet MS"/>
          <w:sz w:val="22"/>
          <w:szCs w:val="22"/>
        </w:rPr>
        <w:t>Bucureşti, 26 august 2016</w:t>
      </w:r>
    </w:p>
    <w:p w:rsidR="00AE710A" w:rsidRDefault="00AE710A">
      <w:pPr>
        <w:pStyle w:val="BodyText"/>
        <w:jc w:val="right"/>
        <w:rPr>
          <w:rFonts w:ascii="Trebuchet MS" w:hAnsi="Trebuchet MS" w:cs="Trebuchet MS"/>
          <w:b/>
          <w:sz w:val="22"/>
          <w:szCs w:val="22"/>
        </w:rPr>
      </w:pPr>
    </w:p>
    <w:p w:rsidR="003574C7" w:rsidRDefault="00AE710A" w:rsidP="00AE710A">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3574C7" w:rsidRDefault="003574C7">
      <w:pPr>
        <w:spacing w:line="276" w:lineRule="auto"/>
        <w:jc w:val="center"/>
        <w:rPr>
          <w:rFonts w:ascii="Trebuchet MS" w:hAnsi="Trebuchet MS" w:cs="Trebuchet MS"/>
          <w:b/>
          <w:bCs/>
          <w:sz w:val="22"/>
          <w:szCs w:val="22"/>
        </w:rPr>
      </w:pPr>
    </w:p>
    <w:p w:rsidR="003574C7" w:rsidRDefault="00E036DF">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28 de locuinţe sociale pentru comunitățile de romi </w:t>
      </w:r>
    </w:p>
    <w:p w:rsidR="003574C7" w:rsidRDefault="00E036DF">
      <w:pPr>
        <w:pStyle w:val="BodyText"/>
        <w:jc w:val="center"/>
        <w:rPr>
          <w:rFonts w:ascii="Trebuchet MS" w:hAnsi="Trebuchet MS" w:cs="Trebuchet MS"/>
          <w:b/>
          <w:bCs/>
          <w:sz w:val="22"/>
          <w:szCs w:val="22"/>
        </w:rPr>
      </w:pPr>
      <w:r>
        <w:rPr>
          <w:rFonts w:ascii="Trebuchet MS" w:hAnsi="Trebuchet MS" w:cs="Trebuchet MS"/>
          <w:b/>
          <w:bCs/>
          <w:sz w:val="22"/>
          <w:szCs w:val="22"/>
        </w:rPr>
        <w:t>în comuna Nocrich</w:t>
      </w:r>
    </w:p>
    <w:p w:rsidR="003574C7" w:rsidRDefault="003574C7">
      <w:pPr>
        <w:spacing w:line="276" w:lineRule="auto"/>
        <w:jc w:val="center"/>
        <w:rPr>
          <w:rFonts w:ascii="Trebuchet MS" w:hAnsi="Trebuchet MS" w:cs="Trebuchet MS"/>
          <w:b/>
          <w:bCs/>
          <w:sz w:val="22"/>
          <w:szCs w:val="22"/>
        </w:rPr>
      </w:pPr>
    </w:p>
    <w:p w:rsidR="003574C7" w:rsidRDefault="003574C7">
      <w:pPr>
        <w:spacing w:line="276" w:lineRule="auto"/>
        <w:jc w:val="center"/>
        <w:rPr>
          <w:rFonts w:ascii="Trebuchet MS" w:hAnsi="Trebuchet MS" w:cs="Trebuchet MS"/>
          <w:b/>
          <w:bCs/>
          <w:sz w:val="22"/>
          <w:szCs w:val="22"/>
        </w:rPr>
      </w:pPr>
    </w:p>
    <w:p w:rsidR="003574C7" w:rsidRDefault="003574C7">
      <w:pPr>
        <w:spacing w:line="276" w:lineRule="auto"/>
        <w:jc w:val="center"/>
        <w:rPr>
          <w:rFonts w:ascii="Trebuchet MS" w:hAnsi="Trebuchet MS" w:cs="Trebuchet MS"/>
          <w:b/>
          <w:bCs/>
          <w:sz w:val="22"/>
          <w:szCs w:val="22"/>
        </w:rPr>
      </w:pPr>
    </w:p>
    <w:p w:rsidR="003574C7" w:rsidRDefault="00E036DF">
      <w:pPr>
        <w:spacing w:line="276" w:lineRule="auto"/>
        <w:ind w:firstLine="709"/>
        <w:jc w:val="both"/>
        <w:rPr>
          <w:rFonts w:ascii="Trebuchet MS" w:hAnsi="Trebuchet MS" w:cs="Trebuchet MS"/>
          <w:bCs/>
          <w:sz w:val="22"/>
          <w:szCs w:val="22"/>
        </w:rPr>
      </w:pPr>
      <w:r>
        <w:rPr>
          <w:rFonts w:ascii="Trebuchet MS" w:hAnsi="Trebuchet MS" w:cs="Trebuchet MS"/>
          <w:bCs/>
          <w:sz w:val="22"/>
          <w:szCs w:val="22"/>
        </w:rPr>
        <w:t>Agenţia Naţională pentru Locuinţe (ANL) a finalizat astăzi</w:t>
      </w:r>
      <w:r w:rsidR="00266A63">
        <w:rPr>
          <w:rFonts w:ascii="Trebuchet MS" w:hAnsi="Trebuchet MS" w:cs="Trebuchet MS"/>
          <w:bCs/>
          <w:sz w:val="22"/>
          <w:szCs w:val="22"/>
        </w:rPr>
        <w:t xml:space="preserve"> </w:t>
      </w:r>
      <w:r>
        <w:rPr>
          <w:rFonts w:ascii="Trebuchet MS" w:hAnsi="Trebuchet MS" w:cs="Trebuchet MS"/>
          <w:bCs/>
          <w:sz w:val="22"/>
          <w:szCs w:val="22"/>
        </w:rPr>
        <w:t xml:space="preserve">28 de locuinţe sociale pentru comunitățile de romi în comuna Nocrich (județul Sibiu). </w:t>
      </w:r>
    </w:p>
    <w:p w:rsidR="003574C7" w:rsidRDefault="00E036DF">
      <w:pPr>
        <w:spacing w:line="276" w:lineRule="auto"/>
        <w:ind w:firstLine="709"/>
        <w:jc w:val="both"/>
      </w:pPr>
      <w:r>
        <w:rPr>
          <w:rFonts w:ascii="Trebuchet MS" w:hAnsi="Trebuchet MS" w:cs="Trebuchet MS"/>
          <w:bCs/>
          <w:sz w:val="22"/>
          <w:szCs w:val="22"/>
        </w:rPr>
        <w:t xml:space="preserve"> Locuințele recepționate (12 apartamente cu 2 camere și 16 apartamente cu 3 camere)  sunt repartizate în 14 module cu regim de înălţime P (parter).</w:t>
      </w:r>
    </w:p>
    <w:p w:rsidR="003574C7" w:rsidRDefault="003574C7">
      <w:pPr>
        <w:spacing w:line="276" w:lineRule="auto"/>
        <w:ind w:firstLine="709"/>
        <w:jc w:val="both"/>
      </w:pPr>
    </w:p>
    <w:p w:rsidR="003574C7" w:rsidRDefault="00E036DF">
      <w:pPr>
        <w:spacing w:line="276" w:lineRule="auto"/>
        <w:ind w:firstLine="709"/>
        <w:jc w:val="both"/>
        <w:rPr>
          <w:rFonts w:ascii="Trebuchet MS" w:eastAsia="Times New Roman" w:hAnsi="Trebuchet MS" w:cs="Trebuchet MS"/>
          <w:sz w:val="22"/>
          <w:szCs w:val="22"/>
          <w:lang w:val="en-US" w:eastAsia="ar-SA" w:bidi="ar-SA"/>
        </w:rPr>
      </w:pPr>
      <w:r>
        <w:rPr>
          <w:rFonts w:ascii="Trebuchet MS" w:eastAsia="Times New Roman" w:hAnsi="Trebuchet MS" w:cs="Trebuchet MS"/>
          <w:sz w:val="22"/>
          <w:szCs w:val="22"/>
          <w:lang w:val="en-US" w:eastAsia="ar-SA" w:bidi="ar-SA"/>
        </w:rPr>
        <w:t xml:space="preserve">Până în prezent, în cadrul Programului de construcții sociale pentru comunitățile de romi au </w:t>
      </w:r>
      <w:r w:rsidR="00266A63">
        <w:rPr>
          <w:rFonts w:ascii="Trebuchet MS" w:eastAsia="Times New Roman" w:hAnsi="Trebuchet MS" w:cs="Trebuchet MS"/>
          <w:sz w:val="22"/>
          <w:szCs w:val="22"/>
          <w:lang w:val="en-US" w:eastAsia="ar-SA" w:bidi="ar-SA"/>
        </w:rPr>
        <w:t xml:space="preserve">fost finalizate în total 119 </w:t>
      </w:r>
      <w:r>
        <w:rPr>
          <w:rFonts w:ascii="Trebuchet MS" w:eastAsia="Times New Roman" w:hAnsi="Trebuchet MS" w:cs="Trebuchet MS"/>
          <w:sz w:val="22"/>
          <w:szCs w:val="22"/>
          <w:lang w:val="en-US" w:eastAsia="ar-SA" w:bidi="ar-SA"/>
        </w:rPr>
        <w:t>locuințe în județele Bihor (14 u.l.), Bistrița-Năsăud (21 u.l.), Mehedinți (28 u.l.), Olt (28 u.l.) și Sibiu (28 u.l.). În cadrul aceluiași program sunt în execuție alte 49 de unități locative în județul Arad și 21 de unități locative în județul Brașov.</w:t>
      </w:r>
    </w:p>
    <w:p w:rsidR="003574C7" w:rsidRDefault="003574C7">
      <w:pPr>
        <w:spacing w:line="276" w:lineRule="auto"/>
        <w:ind w:firstLine="709"/>
        <w:jc w:val="both"/>
        <w:rPr>
          <w:rFonts w:ascii="Trebuchet MS" w:eastAsia="Times New Roman" w:hAnsi="Trebuchet MS" w:cs="Trebuchet MS"/>
          <w:sz w:val="22"/>
          <w:szCs w:val="22"/>
          <w:lang w:val="en-US" w:eastAsia="ar-SA" w:bidi="ar-SA"/>
        </w:rPr>
      </w:pPr>
    </w:p>
    <w:p w:rsidR="003574C7" w:rsidRDefault="00E036DF">
      <w:pPr>
        <w:widowControl/>
        <w:tabs>
          <w:tab w:val="left" w:pos="9000"/>
        </w:tabs>
        <w:suppressAutoHyphens w:val="0"/>
        <w:spacing w:after="200" w:line="276" w:lineRule="auto"/>
        <w:ind w:firstLine="709"/>
        <w:jc w:val="both"/>
        <w:rPr>
          <w:rFonts w:ascii="Trebuchet MS" w:eastAsia="Calibri" w:hAnsi="Trebuchet MS" w:cs="Trebuchet MS"/>
          <w:bCs/>
          <w:sz w:val="22"/>
          <w:szCs w:val="22"/>
          <w:lang w:eastAsia="ar-SA" w:bidi="ar-SA"/>
        </w:rPr>
      </w:pPr>
      <w:r>
        <w:rPr>
          <w:rFonts w:ascii="Trebuchet MS" w:hAnsi="Trebuchet MS" w:cs="Trebuchet MS"/>
          <w:bCs/>
          <w:sz w:val="22"/>
          <w:szCs w:val="22"/>
        </w:rPr>
        <w:t xml:space="preserve">Programul de construcții de locuințe </w:t>
      </w:r>
      <w:r>
        <w:rPr>
          <w:rFonts w:ascii="Trebuchet MS" w:eastAsia="Calibri" w:hAnsi="Trebuchet MS" w:cs="Trebuchet MS"/>
          <w:bCs/>
          <w:sz w:val="22"/>
          <w:szCs w:val="22"/>
          <w:lang w:eastAsia="ar-SA" w:bidi="ar-SA"/>
        </w:rPr>
        <w:t>sociale pentru comunităţile de romi</w:t>
      </w:r>
      <w:r>
        <w:rPr>
          <w:rFonts w:ascii="Trebuchet MS" w:eastAsia="Calibri" w:hAnsi="Trebuchet MS" w:cs="Trebuchet MS"/>
          <w:b/>
          <w:bCs/>
          <w:sz w:val="22"/>
          <w:szCs w:val="22"/>
          <w:lang w:eastAsia="ar-SA" w:bidi="ar-SA"/>
        </w:rPr>
        <w:t xml:space="preserve"> </w:t>
      </w:r>
      <w:r>
        <w:rPr>
          <w:rFonts w:ascii="Trebuchet MS" w:eastAsia="Calibri" w:hAnsi="Trebuchet MS" w:cs="Trebuchet MS"/>
          <w:bCs/>
          <w:sz w:val="22"/>
          <w:szCs w:val="22"/>
          <w:lang w:eastAsia="ar-SA" w:bidi="ar-SA"/>
        </w:rPr>
        <w:t>este un program pilot derulat de Ministerul Dezvoltării Regionale și Administrației Publice prin Agenția Națională pentru Locuințe, conform Hotărârii Guvernului nr. 1237/2008, cu modificările şi completările ulterioare.</w:t>
      </w:r>
      <w:r>
        <w:rPr>
          <w:rFonts w:ascii="Trebuchet MS" w:eastAsia="Calibri" w:hAnsi="Trebuchet MS" w:cs="Trebuchet MS"/>
          <w:sz w:val="22"/>
          <w:szCs w:val="22"/>
          <w:lang w:eastAsia="ar-SA" w:bidi="ar-SA"/>
        </w:rPr>
        <w:t xml:space="preserve"> </w:t>
      </w:r>
      <w:r>
        <w:rPr>
          <w:rFonts w:ascii="Trebuchet MS" w:eastAsia="Calibri" w:hAnsi="Trebuchet MS" w:cs="Trebuchet MS"/>
          <w:bCs/>
          <w:sz w:val="22"/>
          <w:szCs w:val="22"/>
          <w:lang w:eastAsia="ar-SA" w:bidi="ar-SA"/>
        </w:rPr>
        <w:t>Programul are ca obiective incluziunea socială a cetăţenilor de etnie romă cu situaţie locativă precară</w:t>
      </w:r>
      <w:r>
        <w:rPr>
          <w:rFonts w:ascii="Trebuchet MS" w:eastAsia="Calibri" w:hAnsi="Trebuchet MS" w:cs="Trebuchet MS"/>
          <w:b/>
          <w:bCs/>
          <w:sz w:val="22"/>
          <w:szCs w:val="22"/>
          <w:lang w:eastAsia="ar-SA" w:bidi="ar-SA"/>
        </w:rPr>
        <w:t xml:space="preserve"> </w:t>
      </w:r>
      <w:r>
        <w:rPr>
          <w:rFonts w:ascii="Trebuchet MS" w:eastAsia="Calibri" w:hAnsi="Trebuchet MS" w:cs="Trebuchet MS"/>
          <w:bCs/>
          <w:sz w:val="22"/>
          <w:szCs w:val="22"/>
          <w:lang w:eastAsia="ar-SA" w:bidi="ar-SA"/>
        </w:rPr>
        <w:t xml:space="preserve">şi prevenirea discriminării pe criterii rasiale. Locuinţele se construiesc prin ANL cu finanţare de la bugetul de stat.                                                                       </w:t>
      </w:r>
    </w:p>
    <w:p w:rsidR="003574C7" w:rsidRDefault="00E036DF">
      <w:pPr>
        <w:widowControl/>
        <w:tabs>
          <w:tab w:val="left" w:pos="9000"/>
        </w:tabs>
        <w:suppressAutoHyphens w:val="0"/>
        <w:spacing w:after="200" w:line="276" w:lineRule="auto"/>
        <w:ind w:firstLine="709"/>
        <w:jc w:val="both"/>
      </w:pPr>
      <w:r>
        <w:rPr>
          <w:rFonts w:ascii="Trebuchet MS" w:eastAsia="Calibri" w:hAnsi="Trebuchet MS" w:cs="Trebuchet MS"/>
          <w:bCs/>
          <w:sz w:val="22"/>
          <w:szCs w:val="22"/>
          <w:lang w:eastAsia="ar-SA" w:bidi="ar-SA"/>
        </w:rPr>
        <w:t>Până în prezent, în județul Sibiu, au mai fost finalizate 909 apartamente în cadrul altui program al agenției,</w:t>
      </w:r>
      <w:r>
        <w:rPr>
          <w:rFonts w:ascii="Trebuchet MS" w:hAnsi="Trebuchet MS" w:cs="Trebuchet MS"/>
          <w:sz w:val="22"/>
          <w:szCs w:val="22"/>
        </w:rPr>
        <w:t xml:space="preserve"> de construcții de locuințe pentru tineri, destinate închirierii, în amplasamentele din localitățile Copșa Mică (30 de locuințe), Sibiu (432 de locuințe), Avrig-Mârșa (40 de locuințe), Mediaș (234 de locuințe), Cisnădie (60 de locuințe), Tălmaciu (60 de locuințe), Agnita (13 locuințe) și Ocna Sibiului (40 de locuințe). În acest județ se mai află în construcție 88 de locuințe pentru tineri, destinate închirierii, în municipiul Sibiu, zona Reșița.</w:t>
      </w:r>
    </w:p>
    <w:p w:rsidR="00E036DF" w:rsidRDefault="00E036DF"/>
    <w:sectPr w:rsidR="00E036DF" w:rsidSect="003574C7">
      <w:pgSz w:w="11906" w:h="16838"/>
      <w:pgMar w:top="1134" w:right="1134" w:bottom="1134" w:left="1134"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F0B99"/>
    <w:rsid w:val="001F0B99"/>
    <w:rsid w:val="00266A63"/>
    <w:rsid w:val="003574C7"/>
    <w:rsid w:val="007A6C54"/>
    <w:rsid w:val="00AE710A"/>
    <w:rsid w:val="00E036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C7"/>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3574C7"/>
    <w:pPr>
      <w:keepNext/>
      <w:spacing w:before="240" w:after="120"/>
    </w:pPr>
    <w:rPr>
      <w:rFonts w:ascii="Arial" w:eastAsia="Microsoft YaHei" w:hAnsi="Arial"/>
      <w:sz w:val="28"/>
      <w:szCs w:val="28"/>
    </w:rPr>
  </w:style>
  <w:style w:type="paragraph" w:styleId="BodyText">
    <w:name w:val="Body Text"/>
    <w:basedOn w:val="Normal"/>
    <w:rsid w:val="003574C7"/>
    <w:pPr>
      <w:spacing w:after="120"/>
    </w:pPr>
  </w:style>
  <w:style w:type="paragraph" w:styleId="List">
    <w:name w:val="List"/>
    <w:basedOn w:val="BodyText"/>
    <w:rsid w:val="003574C7"/>
  </w:style>
  <w:style w:type="paragraph" w:styleId="Caption">
    <w:name w:val="caption"/>
    <w:basedOn w:val="Normal"/>
    <w:qFormat/>
    <w:rsid w:val="003574C7"/>
    <w:pPr>
      <w:suppressLineNumbers/>
      <w:spacing w:before="120" w:after="120"/>
    </w:pPr>
    <w:rPr>
      <w:i/>
      <w:iCs/>
    </w:rPr>
  </w:style>
  <w:style w:type="paragraph" w:customStyle="1" w:styleId="Index">
    <w:name w:val="Index"/>
    <w:basedOn w:val="Normal"/>
    <w:rsid w:val="003574C7"/>
    <w:pPr>
      <w:suppressLineNumbers/>
    </w:pPr>
  </w:style>
  <w:style w:type="paragraph" w:styleId="BalloonText">
    <w:name w:val="Balloon Text"/>
    <w:basedOn w:val="Normal"/>
    <w:link w:val="BalloonTextChar"/>
    <w:uiPriority w:val="99"/>
    <w:semiHidden/>
    <w:unhideWhenUsed/>
    <w:rsid w:val="00AE710A"/>
    <w:rPr>
      <w:rFonts w:ascii="Tahoma" w:hAnsi="Tahoma" w:cs="Mangal"/>
      <w:sz w:val="16"/>
      <w:szCs w:val="14"/>
    </w:rPr>
  </w:style>
  <w:style w:type="character" w:customStyle="1" w:styleId="BalloonTextChar">
    <w:name w:val="Balloon Text Char"/>
    <w:basedOn w:val="DefaultParagraphFont"/>
    <w:link w:val="BalloonText"/>
    <w:uiPriority w:val="99"/>
    <w:semiHidden/>
    <w:rsid w:val="00AE710A"/>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1689</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6</cp:revision>
  <cp:lastPrinted>2016-08-23T07:11:00Z</cp:lastPrinted>
  <dcterms:created xsi:type="dcterms:W3CDTF">2016-08-26T16:48:00Z</dcterms:created>
  <dcterms:modified xsi:type="dcterms:W3CDTF">2016-08-26T17:12:00Z</dcterms:modified>
</cp:coreProperties>
</file>